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58" w:rsidRPr="00F717DA" w:rsidRDefault="004A2258" w:rsidP="004A2258">
      <w:pPr>
        <w:widowControl/>
        <w:spacing w:line="360" w:lineRule="exact"/>
        <w:jc w:val="left"/>
        <w:rPr>
          <w:rFonts w:ascii="宋体" w:eastAsia="宋体" w:hAnsi="宋体" w:cs="宋体"/>
          <w:kern w:val="0"/>
          <w:szCs w:val="21"/>
        </w:rPr>
      </w:pPr>
    </w:p>
    <w:p w:rsidR="004A2258" w:rsidRPr="00F717DA" w:rsidRDefault="004A2258" w:rsidP="004A2258">
      <w:pPr>
        <w:widowControl/>
        <w:spacing w:line="360" w:lineRule="exact"/>
        <w:jc w:val="center"/>
        <w:rPr>
          <w:rFonts w:ascii="方正小标宋简体" w:eastAsia="方正小标宋简体" w:hAnsi="黑体" w:cs="宋体"/>
          <w:b/>
          <w:bCs/>
          <w:kern w:val="0"/>
          <w:sz w:val="32"/>
          <w:szCs w:val="32"/>
        </w:rPr>
      </w:pPr>
      <w:r w:rsidRPr="00F717DA">
        <w:rPr>
          <w:rFonts w:ascii="方正小标宋简体" w:eastAsia="方正小标宋简体" w:hAnsi="黑体" w:cs="宋体"/>
          <w:b/>
          <w:bCs/>
          <w:kern w:val="0"/>
          <w:sz w:val="32"/>
          <w:szCs w:val="32"/>
        </w:rPr>
        <w:t>猴痘密切接触者判定和管理指南</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为指导各地做好猴痘密切接触者判定和管理，有效控制猴痘疫情的传播，制定本指南。</w:t>
      </w:r>
    </w:p>
    <w:p w:rsidR="004A2258" w:rsidRPr="00F717DA" w:rsidRDefault="004A2258" w:rsidP="004A2258">
      <w:pPr>
        <w:widowControl/>
        <w:spacing w:line="360" w:lineRule="exact"/>
        <w:jc w:val="left"/>
        <w:rPr>
          <w:rFonts w:ascii="黑体" w:eastAsia="黑体" w:hAnsi="黑体" w:cs="宋体"/>
          <w:b/>
          <w:bCs/>
          <w:kern w:val="0"/>
          <w:szCs w:val="21"/>
        </w:rPr>
      </w:pPr>
      <w:r w:rsidRPr="00F717DA">
        <w:rPr>
          <w:rFonts w:ascii="黑体" w:eastAsia="黑体" w:hAnsi="黑体" w:cs="宋体" w:hint="eastAsia"/>
          <w:b/>
          <w:bCs/>
          <w:kern w:val="0"/>
          <w:szCs w:val="21"/>
        </w:rPr>
        <w:t xml:space="preserve">    </w:t>
      </w:r>
      <w:r w:rsidRPr="00F717DA">
        <w:rPr>
          <w:rFonts w:ascii="黑体" w:eastAsia="黑体" w:hAnsi="黑体" w:cs="宋体"/>
          <w:b/>
          <w:bCs/>
          <w:kern w:val="0"/>
          <w:szCs w:val="21"/>
        </w:rPr>
        <w:t>一、密切接触者判定标准</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密切接触者是指直接接触病例的病变部位及其被污染物品，或感染动物及其分泌物、渗出物等污染物的人员；以及职业暴露或长时间近距离吸入病例呼吸道飞沫等，经评估有感染风险的人员。具体情形包括：</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1.与疑似病例或确诊病例发病后有皮肤或黏膜直接接触的人员，接触方式包括性接触、抚摸、拥抱和亲吻等；</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2.与有皮疹症状的疑似病例或确诊病例共用衣物、被褥、餐具等物品的人员；</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3.医疗诊疗、采样或实验室检测等操作过程中可能暴露于病毒，经评估有感染风险的医疗卫生工作人员；</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4.与疑似病例或确诊病例发病前4天内有性接触，并经流行病学调查专业人员评估有感染风险的人员，亦可判定为密切接触者；</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5.在狭小密闭空间与疑似病例或确诊病例长时间近距离接触（如长时间共处同一封闭空间），经流行病学调查专业人员评估有感染风险的人员，亦可判定为密切接触者；</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6.接触感染猴痘病毒的动物及其分泌物、渗出物等污染物，而未采取有效个人防护的人员；</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7.其他可能存在病毒暴露风险的人员。</w:t>
      </w:r>
    </w:p>
    <w:p w:rsidR="004A2258" w:rsidRPr="00F717DA" w:rsidRDefault="004A2258" w:rsidP="004A2258">
      <w:pPr>
        <w:widowControl/>
        <w:spacing w:line="360" w:lineRule="exact"/>
        <w:jc w:val="left"/>
        <w:rPr>
          <w:rFonts w:ascii="黑体" w:eastAsia="黑体" w:hAnsi="黑体" w:cs="宋体"/>
          <w:b/>
          <w:bCs/>
          <w:kern w:val="0"/>
          <w:szCs w:val="21"/>
        </w:rPr>
      </w:pPr>
      <w:r w:rsidRPr="00F717DA">
        <w:rPr>
          <w:rFonts w:ascii="黑体" w:eastAsia="黑体" w:hAnsi="黑体" w:cs="宋体" w:hint="eastAsia"/>
          <w:b/>
          <w:bCs/>
          <w:kern w:val="0"/>
          <w:szCs w:val="21"/>
        </w:rPr>
        <w:t xml:space="preserve">    </w:t>
      </w:r>
      <w:r w:rsidRPr="00F717DA">
        <w:rPr>
          <w:rFonts w:ascii="黑体" w:eastAsia="黑体" w:hAnsi="黑体" w:cs="宋体"/>
          <w:b/>
          <w:bCs/>
          <w:kern w:val="0"/>
          <w:szCs w:val="21"/>
        </w:rPr>
        <w:t>二、密切接触者管理</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302B07">
        <w:rPr>
          <w:rFonts w:asciiTheme="minorEastAsia" w:hAnsiTheme="minorEastAsia" w:cs="宋体"/>
          <w:b/>
          <w:kern w:val="0"/>
          <w:szCs w:val="21"/>
        </w:rPr>
        <w:t>1.管理期限与方式。</w:t>
      </w:r>
      <w:r w:rsidRPr="00F717DA">
        <w:rPr>
          <w:rFonts w:ascii="宋体" w:eastAsia="宋体" w:hAnsi="宋体" w:cs="宋体"/>
          <w:kern w:val="0"/>
          <w:szCs w:val="21"/>
        </w:rPr>
        <w:t>病例发现地</w:t>
      </w:r>
      <w:proofErr w:type="gramStart"/>
      <w:r w:rsidRPr="00F717DA">
        <w:rPr>
          <w:rFonts w:ascii="宋体" w:eastAsia="宋体" w:hAnsi="宋体" w:cs="宋体"/>
          <w:kern w:val="0"/>
          <w:szCs w:val="21"/>
        </w:rPr>
        <w:t>疾控机构</w:t>
      </w:r>
      <w:proofErr w:type="gramEnd"/>
      <w:r w:rsidRPr="00F717DA">
        <w:rPr>
          <w:rFonts w:ascii="宋体" w:eastAsia="宋体" w:hAnsi="宋体" w:cs="宋体"/>
          <w:kern w:val="0"/>
          <w:szCs w:val="21"/>
        </w:rPr>
        <w:t>或密切接触者所在地</w:t>
      </w:r>
      <w:proofErr w:type="gramStart"/>
      <w:r w:rsidRPr="00F717DA">
        <w:rPr>
          <w:rFonts w:ascii="宋体" w:eastAsia="宋体" w:hAnsi="宋体" w:cs="宋体"/>
          <w:kern w:val="0"/>
          <w:szCs w:val="21"/>
        </w:rPr>
        <w:t>疾控机构</w:t>
      </w:r>
      <w:proofErr w:type="gramEnd"/>
      <w:r w:rsidRPr="00F717DA">
        <w:rPr>
          <w:rFonts w:ascii="宋体" w:eastAsia="宋体" w:hAnsi="宋体" w:cs="宋体"/>
          <w:kern w:val="0"/>
          <w:szCs w:val="21"/>
        </w:rPr>
        <w:t>应于追踪到密切接触者当天及时开展猴痘病毒核酸检测，通知并指导密切接触者做好自我健康监测，健康监测期限为自最后密切接触之日算起21天。自我健康监测期间可正常生活与工作，需避免与他人发生性接触等密切接触，避免捐献血液等。</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302B07">
        <w:rPr>
          <w:rFonts w:asciiTheme="minorEastAsia" w:hAnsiTheme="minorEastAsia" w:cs="宋体"/>
          <w:b/>
          <w:kern w:val="0"/>
          <w:szCs w:val="21"/>
        </w:rPr>
        <w:t>2.知情告知。</w:t>
      </w:r>
      <w:r w:rsidRPr="00F717DA">
        <w:rPr>
          <w:rFonts w:ascii="宋体" w:eastAsia="宋体" w:hAnsi="宋体" w:cs="宋体"/>
          <w:kern w:val="0"/>
          <w:szCs w:val="21"/>
        </w:rPr>
        <w:t>实施健康监测时，</w:t>
      </w:r>
      <w:proofErr w:type="gramStart"/>
      <w:r w:rsidRPr="00F717DA">
        <w:rPr>
          <w:rFonts w:ascii="宋体" w:eastAsia="宋体" w:hAnsi="宋体" w:cs="宋体"/>
          <w:kern w:val="0"/>
          <w:szCs w:val="21"/>
        </w:rPr>
        <w:t>疾控机构</w:t>
      </w:r>
      <w:proofErr w:type="gramEnd"/>
      <w:r w:rsidRPr="00F717DA">
        <w:rPr>
          <w:rFonts w:ascii="宋体" w:eastAsia="宋体" w:hAnsi="宋体" w:cs="宋体"/>
          <w:kern w:val="0"/>
          <w:szCs w:val="21"/>
        </w:rPr>
        <w:t>或基层医疗卫生机构应口头告知健康监测的缘由、期限、注意事项和疾病相关知识，以及负责随访</w:t>
      </w:r>
      <w:proofErr w:type="gramStart"/>
      <w:r w:rsidRPr="00F717DA">
        <w:rPr>
          <w:rFonts w:ascii="宋体" w:eastAsia="宋体" w:hAnsi="宋体" w:cs="宋体"/>
          <w:kern w:val="0"/>
          <w:szCs w:val="21"/>
        </w:rPr>
        <w:t>疾控机构</w:t>
      </w:r>
      <w:proofErr w:type="gramEnd"/>
      <w:r w:rsidRPr="00F717DA">
        <w:rPr>
          <w:rFonts w:ascii="宋体" w:eastAsia="宋体" w:hAnsi="宋体" w:cs="宋体"/>
          <w:kern w:val="0"/>
          <w:szCs w:val="21"/>
        </w:rPr>
        <w:t>或基层医疗卫生机构联系人和联系方式，并发放《猴痘密切接触者健康告知书》。</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302B07">
        <w:rPr>
          <w:rFonts w:asciiTheme="minorEastAsia" w:hAnsiTheme="minorEastAsia" w:cs="宋体" w:hint="eastAsia"/>
          <w:b/>
          <w:kern w:val="0"/>
          <w:szCs w:val="21"/>
        </w:rPr>
        <w:t xml:space="preserve"> </w:t>
      </w:r>
      <w:r w:rsidRPr="00302B07">
        <w:rPr>
          <w:rFonts w:asciiTheme="minorEastAsia" w:hAnsiTheme="minorEastAsia" w:cs="宋体"/>
          <w:b/>
          <w:kern w:val="0"/>
          <w:szCs w:val="21"/>
        </w:rPr>
        <w:t>3.定期随访。</w:t>
      </w:r>
      <w:proofErr w:type="gramStart"/>
      <w:r w:rsidRPr="00F717DA">
        <w:rPr>
          <w:rFonts w:ascii="宋体" w:eastAsia="宋体" w:hAnsi="宋体" w:cs="宋体"/>
          <w:kern w:val="0"/>
          <w:szCs w:val="21"/>
        </w:rPr>
        <w:t>疾控机构</w:t>
      </w:r>
      <w:proofErr w:type="gramEnd"/>
      <w:r w:rsidRPr="00F717DA">
        <w:rPr>
          <w:rFonts w:ascii="宋体" w:eastAsia="宋体" w:hAnsi="宋体" w:cs="宋体"/>
          <w:kern w:val="0"/>
          <w:szCs w:val="21"/>
        </w:rPr>
        <w:t>或基层医疗卫生机构应在第7、14、21天电话或上门主动询问密切接触者自我健康监测情况，提供咨询指导建议。发现异常情况，及时调查处置。</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302B07">
        <w:rPr>
          <w:rFonts w:asciiTheme="minorEastAsia" w:hAnsiTheme="minorEastAsia" w:cs="宋体" w:hint="eastAsia"/>
          <w:b/>
          <w:kern w:val="0"/>
          <w:szCs w:val="21"/>
        </w:rPr>
        <w:t xml:space="preserve"> </w:t>
      </w:r>
      <w:r w:rsidRPr="00302B07">
        <w:rPr>
          <w:rFonts w:asciiTheme="minorEastAsia" w:hAnsiTheme="minorEastAsia" w:cs="宋体"/>
          <w:b/>
          <w:kern w:val="0"/>
          <w:szCs w:val="21"/>
        </w:rPr>
        <w:t>4.自我健康监测。</w:t>
      </w:r>
      <w:r w:rsidRPr="00F717DA">
        <w:rPr>
          <w:rFonts w:ascii="宋体" w:eastAsia="宋体" w:hAnsi="宋体" w:cs="宋体"/>
          <w:kern w:val="0"/>
          <w:szCs w:val="21"/>
        </w:rPr>
        <w:t>坚持每天做好体温测量和症状监测，主要症状包括发热（＞37.3℃）、皮疹、浅表淋巴结肿大等。密切接触者一旦出现相关症状应及时前往医疗机构就诊或与随访联系人取得联系，接受猴痘病毒核酸检测。</w:t>
      </w:r>
    </w:p>
    <w:p w:rsidR="004A2258" w:rsidRPr="00F717DA" w:rsidRDefault="004A2258" w:rsidP="004A2258">
      <w:pPr>
        <w:widowControl/>
        <w:spacing w:line="360" w:lineRule="exact"/>
        <w:jc w:val="left"/>
        <w:rPr>
          <w:rFonts w:ascii="宋体" w:eastAsia="宋体" w:hAnsi="宋体" w:cs="宋体"/>
          <w:kern w:val="0"/>
          <w:szCs w:val="21"/>
        </w:rPr>
      </w:pPr>
      <w:r w:rsidRPr="00F717DA">
        <w:rPr>
          <w:rFonts w:ascii="宋体" w:eastAsia="宋体" w:hAnsi="宋体" w:cs="宋体" w:hint="eastAsia"/>
          <w:kern w:val="0"/>
          <w:szCs w:val="21"/>
        </w:rPr>
        <w:t xml:space="preserve">    </w:t>
      </w:r>
      <w:r w:rsidRPr="00F717DA">
        <w:rPr>
          <w:rFonts w:ascii="宋体" w:eastAsia="宋体" w:hAnsi="宋体" w:cs="宋体"/>
          <w:kern w:val="0"/>
          <w:szCs w:val="21"/>
        </w:rPr>
        <w:t>附件：4-1.猴痘密切接触者健康告知书</w:t>
      </w:r>
    </w:p>
    <w:p w:rsidR="004A2258" w:rsidRPr="00F717DA" w:rsidRDefault="004A2258" w:rsidP="004A2258">
      <w:pPr>
        <w:widowControl/>
        <w:shd w:val="clear" w:color="auto" w:fill="FFFFFF"/>
        <w:spacing w:before="151"/>
        <w:jc w:val="center"/>
        <w:rPr>
          <w:rFonts w:ascii="微软雅黑" w:eastAsia="微软雅黑" w:hAnsi="微软雅黑" w:cs="宋体"/>
          <w:spacing w:val="5"/>
          <w:kern w:val="0"/>
          <w:sz w:val="17"/>
          <w:szCs w:val="17"/>
        </w:rPr>
      </w:pPr>
      <w:r w:rsidRPr="00F717DA">
        <w:rPr>
          <w:rFonts w:ascii="微软雅黑" w:eastAsia="微软雅黑" w:hAnsi="微软雅黑" w:cs="宋体"/>
          <w:noProof/>
          <w:spacing w:val="5"/>
          <w:kern w:val="0"/>
          <w:sz w:val="17"/>
          <w:szCs w:val="17"/>
        </w:rPr>
        <w:lastRenderedPageBreak/>
        <w:drawing>
          <wp:inline distT="0" distB="0" distL="0" distR="0">
            <wp:extent cx="5755098" cy="6069795"/>
            <wp:effectExtent l="19050" t="0" r="0" b="0"/>
            <wp:docPr id="9"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4"/>
                    <a:srcRect/>
                    <a:stretch>
                      <a:fillRect/>
                    </a:stretch>
                  </pic:blipFill>
                  <pic:spPr bwMode="auto">
                    <a:xfrm>
                      <a:off x="0" y="0"/>
                      <a:ext cx="5754231" cy="6068881"/>
                    </a:xfrm>
                    <a:prstGeom prst="rect">
                      <a:avLst/>
                    </a:prstGeom>
                    <a:noFill/>
                    <a:ln w="9525">
                      <a:noFill/>
                      <a:miter lim="800000"/>
                      <a:headEnd/>
                      <a:tailEnd/>
                    </a:ln>
                  </pic:spPr>
                </pic:pic>
              </a:graphicData>
            </a:graphic>
          </wp:inline>
        </w:drawing>
      </w:r>
    </w:p>
    <w:p w:rsidR="004A2258" w:rsidRPr="00F717DA" w:rsidRDefault="004A2258" w:rsidP="004A2258">
      <w:pPr>
        <w:widowControl/>
        <w:shd w:val="clear" w:color="auto" w:fill="FFFFFF"/>
        <w:spacing w:line="360" w:lineRule="exact"/>
        <w:rPr>
          <w:rFonts w:asciiTheme="minorEastAsia" w:hAnsiTheme="minorEastAsia" w:cs="宋体"/>
          <w:b/>
          <w:bCs/>
          <w:spacing w:val="6"/>
          <w:kern w:val="0"/>
          <w:szCs w:val="21"/>
        </w:rPr>
      </w:pPr>
    </w:p>
    <w:p w:rsidR="004A2258" w:rsidRPr="00F717DA" w:rsidRDefault="004A2258" w:rsidP="004A2258">
      <w:pPr>
        <w:widowControl/>
        <w:shd w:val="clear" w:color="auto" w:fill="FFFFFF"/>
        <w:spacing w:line="360" w:lineRule="exact"/>
        <w:rPr>
          <w:rFonts w:asciiTheme="minorEastAsia" w:hAnsiTheme="minorEastAsia" w:cs="宋体"/>
          <w:b/>
          <w:bCs/>
          <w:spacing w:val="6"/>
          <w:kern w:val="0"/>
          <w:szCs w:val="21"/>
        </w:rPr>
      </w:pPr>
    </w:p>
    <w:p w:rsidR="00E77516" w:rsidRDefault="00E77516"/>
    <w:sectPr w:rsidR="00E77516" w:rsidSect="003C0D5A">
      <w:pgSz w:w="11907" w:h="16840" w:code="9"/>
      <w:pgMar w:top="1418" w:right="1361" w:bottom="1418" w:left="1361" w:header="720" w:footer="720" w:gutter="0"/>
      <w:cols w:space="425"/>
      <w:noEndnote/>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258"/>
    <w:rsid w:val="000F69BF"/>
    <w:rsid w:val="003912D6"/>
    <w:rsid w:val="003C0D5A"/>
    <w:rsid w:val="00467A93"/>
    <w:rsid w:val="004A2258"/>
    <w:rsid w:val="00E77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2258"/>
    <w:rPr>
      <w:sz w:val="18"/>
      <w:szCs w:val="18"/>
    </w:rPr>
  </w:style>
  <w:style w:type="character" w:customStyle="1" w:styleId="Char">
    <w:name w:val="批注框文本 Char"/>
    <w:basedOn w:val="a0"/>
    <w:link w:val="a3"/>
    <w:uiPriority w:val="99"/>
    <w:semiHidden/>
    <w:rsid w:val="004A22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2025-03-24T03:24:00Z</dcterms:created>
  <dcterms:modified xsi:type="dcterms:W3CDTF">2025-03-24T03:24:00Z</dcterms:modified>
</cp:coreProperties>
</file>