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8B" w:rsidRDefault="00841B8B" w:rsidP="00841B8B">
      <w:pPr>
        <w:adjustRightInd w:val="0"/>
        <w:snapToGrid w:val="0"/>
        <w:spacing w:line="580" w:lineRule="atLeast"/>
        <w:rPr>
          <w:rFonts w:ascii="黑体" w:eastAsia="黑体" w:hAnsi="黑体" w:cs="仿宋"/>
          <w:bCs/>
          <w:sz w:val="28"/>
          <w:szCs w:val="28"/>
        </w:rPr>
      </w:pPr>
      <w:r>
        <w:rPr>
          <w:rFonts w:ascii="黑体" w:eastAsia="黑体" w:hAnsi="黑体" w:cs="仿宋" w:hint="eastAsia"/>
          <w:bCs/>
          <w:sz w:val="28"/>
          <w:szCs w:val="28"/>
        </w:rPr>
        <w:t>附件</w:t>
      </w:r>
      <w:r>
        <w:rPr>
          <w:rFonts w:ascii="黑体" w:eastAsia="黑体" w:hAnsi="黑体" w:cs="仿宋"/>
          <w:bCs/>
          <w:sz w:val="28"/>
          <w:szCs w:val="28"/>
        </w:rPr>
        <w:t>2</w:t>
      </w:r>
    </w:p>
    <w:p w:rsidR="00841B8B" w:rsidRDefault="00841B8B" w:rsidP="00841B8B">
      <w:pPr>
        <w:spacing w:line="580" w:lineRule="atLeast"/>
        <w:rPr>
          <w:rFonts w:ascii="宋体" w:cs="仿宋"/>
          <w:b/>
          <w:bCs/>
          <w:szCs w:val="32"/>
        </w:rPr>
      </w:pPr>
    </w:p>
    <w:p w:rsidR="00841B8B" w:rsidRDefault="00841B8B" w:rsidP="00841B8B">
      <w:pPr>
        <w:spacing w:line="580" w:lineRule="exact"/>
        <w:jc w:val="center"/>
        <w:rPr>
          <w:rFonts w:ascii="宋体" w:eastAsia="宋体" w:hAnsi="宋体" w:cs="仿宋"/>
          <w:b/>
          <w:bCs/>
          <w:sz w:val="44"/>
          <w:szCs w:val="44"/>
        </w:rPr>
      </w:pPr>
      <w:r>
        <w:rPr>
          <w:rFonts w:ascii="宋体" w:eastAsia="宋体" w:hAnsi="宋体" w:cs="仿宋" w:hint="eastAsia"/>
          <w:b/>
          <w:bCs/>
          <w:sz w:val="44"/>
          <w:szCs w:val="44"/>
        </w:rPr>
        <w:t>甘肃省</w:t>
      </w:r>
      <w:r w:rsidR="001E392A">
        <w:rPr>
          <w:rFonts w:ascii="宋体" w:eastAsia="宋体" w:hAnsi="宋体" w:cs="仿宋" w:hint="eastAsia"/>
          <w:b/>
          <w:bCs/>
          <w:sz w:val="44"/>
          <w:szCs w:val="44"/>
        </w:rPr>
        <w:t>暴洪泥石流灾害</w:t>
      </w:r>
      <w:r>
        <w:rPr>
          <w:rFonts w:ascii="宋体" w:eastAsia="宋体" w:hAnsi="宋体" w:cs="仿宋" w:hint="eastAsia"/>
          <w:b/>
          <w:bCs/>
          <w:sz w:val="44"/>
          <w:szCs w:val="44"/>
        </w:rPr>
        <w:t>灾区传染病</w:t>
      </w:r>
      <w:proofErr w:type="gramStart"/>
      <w:r>
        <w:rPr>
          <w:rFonts w:ascii="宋体" w:eastAsia="宋体" w:hAnsi="宋体" w:cs="仿宋" w:hint="eastAsia"/>
          <w:b/>
          <w:bCs/>
          <w:sz w:val="44"/>
          <w:szCs w:val="44"/>
        </w:rPr>
        <w:t>和</w:t>
      </w:r>
      <w:proofErr w:type="gramEnd"/>
    </w:p>
    <w:p w:rsidR="00841B8B" w:rsidRDefault="00841B8B" w:rsidP="00841B8B">
      <w:pPr>
        <w:spacing w:line="580" w:lineRule="exact"/>
        <w:jc w:val="center"/>
        <w:rPr>
          <w:rFonts w:ascii="宋体" w:eastAsia="宋体" w:hAnsi="宋体" w:cs="仿宋"/>
          <w:b/>
          <w:bCs/>
          <w:sz w:val="44"/>
          <w:szCs w:val="44"/>
        </w:rPr>
      </w:pPr>
      <w:r>
        <w:rPr>
          <w:rFonts w:ascii="宋体" w:eastAsia="宋体" w:hAnsi="宋体" w:cs="仿宋" w:hint="eastAsia"/>
          <w:b/>
          <w:bCs/>
          <w:sz w:val="44"/>
          <w:szCs w:val="44"/>
        </w:rPr>
        <w:t>突发公共卫生事件监测技术指南</w:t>
      </w:r>
    </w:p>
    <w:p w:rsidR="00841B8B" w:rsidRDefault="00841B8B" w:rsidP="00841B8B">
      <w:pPr>
        <w:spacing w:line="580" w:lineRule="exact"/>
        <w:jc w:val="center"/>
        <w:rPr>
          <w:rFonts w:ascii="宋体" w:eastAsia="宋体" w:hAnsi="宋体" w:cs="仿宋"/>
          <w:b/>
          <w:bCs/>
          <w:szCs w:val="32"/>
        </w:rPr>
      </w:pP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公共卫生监测是指长期、连续、系统地收集有关健康事件、卫生问题的信息，经过科学分析和解释后获得重要的公共卫生情报，并及时反馈给需要这些情报的人或机构，用以指导制定、完善和评价公共卫生干预措施与策略的过程。在洪涝灾区开展传染病和突发公共卫生事件监测并采取及时的干预措施，是确保灾后无大疫的基石。</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目前我省已建成较为完善的传染病和突发公共卫生事件监测体系，包括</w:t>
      </w:r>
      <w:r>
        <w:rPr>
          <w:rFonts w:ascii="仿宋" w:eastAsia="仿宋" w:hAnsi="仿宋" w:cs="仿宋"/>
          <w:szCs w:val="32"/>
        </w:rPr>
        <w:t>覆盖全国的法定传染病和突发公共卫生事件监测体系</w:t>
      </w:r>
      <w:r>
        <w:rPr>
          <w:rFonts w:ascii="仿宋" w:eastAsia="仿宋" w:hAnsi="仿宋" w:cs="仿宋" w:hint="eastAsia"/>
          <w:szCs w:val="32"/>
        </w:rPr>
        <w:t>；2016年全省开展10</w:t>
      </w:r>
      <w:r>
        <w:rPr>
          <w:rFonts w:ascii="仿宋" w:eastAsia="仿宋" w:hAnsi="仿宋" w:cs="仿宋"/>
          <w:szCs w:val="32"/>
        </w:rPr>
        <w:t>种</w:t>
      </w:r>
      <w:r>
        <w:rPr>
          <w:rFonts w:ascii="仿宋" w:eastAsia="仿宋" w:hAnsi="仿宋" w:cs="仿宋" w:hint="eastAsia"/>
          <w:szCs w:val="32"/>
        </w:rPr>
        <w:t>重点传染病和4种病媒生物监测；全省各市州均建立流感监测网络实验室网络；在重大自然灾害或大型活动保障中探索开展症状监测实践和应用等。</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在</w:t>
      </w:r>
      <w:r w:rsidR="001E392A">
        <w:rPr>
          <w:rFonts w:ascii="仿宋" w:eastAsia="仿宋" w:hAnsi="仿宋" w:cs="仿宋" w:hint="eastAsia"/>
          <w:szCs w:val="32"/>
        </w:rPr>
        <w:t>暴洪泥石流灾害</w:t>
      </w:r>
      <w:r>
        <w:rPr>
          <w:rFonts w:ascii="仿宋" w:eastAsia="仿宋" w:hAnsi="仿宋" w:cs="仿宋" w:hint="eastAsia"/>
          <w:szCs w:val="32"/>
        </w:rPr>
        <w:t>未对原有监测体系造成严重破坏的情况下，洪涝灾区应优先重点恢复原有传染病和突发公共卫生事件监测能力，并采取提高监测灵敏度、降低应急响应阈值的策略来开展灾后的传染病和突发公共卫生事件监测工作，直至灾害应急响应结束。如果</w:t>
      </w:r>
      <w:r w:rsidR="001E392A">
        <w:rPr>
          <w:rFonts w:ascii="仿宋" w:eastAsia="仿宋" w:hAnsi="仿宋" w:cs="仿宋" w:hint="eastAsia"/>
          <w:szCs w:val="32"/>
        </w:rPr>
        <w:t>暴洪泥石流灾害</w:t>
      </w:r>
      <w:r>
        <w:rPr>
          <w:rFonts w:ascii="仿宋" w:eastAsia="仿宋" w:hAnsi="仿宋" w:cs="仿宋" w:hint="eastAsia"/>
          <w:szCs w:val="32"/>
        </w:rPr>
        <w:t>导致原有的监测体系严重破坏，短期内难以有</w:t>
      </w:r>
      <w:r>
        <w:rPr>
          <w:rFonts w:ascii="仿宋" w:eastAsia="仿宋" w:hAnsi="仿宋" w:cs="仿宋"/>
          <w:szCs w:val="32"/>
        </w:rPr>
        <w:t>效</w:t>
      </w:r>
      <w:r>
        <w:rPr>
          <w:rFonts w:ascii="仿宋" w:eastAsia="仿宋" w:hAnsi="仿宋" w:cs="仿宋" w:hint="eastAsia"/>
          <w:szCs w:val="32"/>
        </w:rPr>
        <w:t>恢复，则需要考虑临</w:t>
      </w:r>
      <w:r>
        <w:rPr>
          <w:rFonts w:ascii="仿宋" w:eastAsia="仿宋" w:hAnsi="仿宋" w:cs="仿宋" w:hint="eastAsia"/>
          <w:szCs w:val="32"/>
        </w:rPr>
        <w:lastRenderedPageBreak/>
        <w:t>时建立症状监测系统来开展灾后的传染病和突发公共卫生事件监测工作；待原有的监测系统能力恢复后，再参照前者策略开展灾后监测工作。</w:t>
      </w:r>
    </w:p>
    <w:p w:rsidR="00841B8B" w:rsidRDefault="00841B8B" w:rsidP="00841B8B">
      <w:pPr>
        <w:adjustRightInd w:val="0"/>
        <w:snapToGrid w:val="0"/>
        <w:spacing w:line="580" w:lineRule="exact"/>
        <w:ind w:firstLineChars="200" w:firstLine="640"/>
        <w:rPr>
          <w:rFonts w:ascii="黑体" w:eastAsia="黑体" w:hAnsi="黑体" w:cs="仿宋"/>
          <w:bCs/>
          <w:szCs w:val="32"/>
        </w:rPr>
      </w:pPr>
      <w:r>
        <w:rPr>
          <w:rFonts w:ascii="黑体" w:eastAsia="黑体" w:hAnsi="黑体" w:cs="仿宋" w:hint="eastAsia"/>
          <w:bCs/>
          <w:szCs w:val="32"/>
        </w:rPr>
        <w:t>一、明确灾区公共卫生监测能力现况</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灾区首先需要明确灾后原有公共卫生监测体系的破坏情况，尤其关注原有监测工作人员伤亡情况及其灾后可以是否可以继续参加工作；原有医疗卫生机构及其设施设备破坏情况，尤其是实验室仪器、试剂、电源、计算机、通讯条件等是否影响疾病诊断和信息报告，是否可以通过临时快速的设备条件替代或恢复而正常工作。</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如果现场快速的调查结果表明，灾区的相关医护人员伤亡小，原有诊断条件和监测报告条件可以通过当地现有支援条件予以尽快恢复，则建议采取尽快恢复原有监测条件（包括外调工作人员、支援快速诊断仪器和试剂、笔记本电脑、手机、移动通讯、临时电源等）的监测策略来开展灾后传染病和突发公共卫生事件监测。</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如果现场快速调查结果表明灾区相关医护人员伤亡大，或者原有诊断条件和监测报告条件短期内无法通过当地现有支援条件进行恢复，则建议灾区需要建立临时的症状监测系统来开展灾后传染病和突发公共卫生事件监测。</w:t>
      </w:r>
    </w:p>
    <w:p w:rsidR="00841B8B" w:rsidRDefault="00841B8B" w:rsidP="00841B8B">
      <w:pPr>
        <w:adjustRightInd w:val="0"/>
        <w:snapToGrid w:val="0"/>
        <w:spacing w:line="580" w:lineRule="exact"/>
        <w:ind w:firstLineChars="200" w:firstLine="640"/>
        <w:rPr>
          <w:rFonts w:ascii="黑体" w:eastAsia="黑体" w:hAnsi="黑体" w:cs="仿宋"/>
          <w:szCs w:val="32"/>
        </w:rPr>
      </w:pPr>
      <w:r>
        <w:rPr>
          <w:rFonts w:ascii="黑体" w:eastAsia="黑体" w:hAnsi="黑体" w:cs="仿宋" w:hint="eastAsia"/>
          <w:bCs/>
          <w:szCs w:val="32"/>
        </w:rPr>
        <w:t>二、明确灾区当前面临的主要传染病和突发公共卫生事件风险</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根据风险评估结果，明确灾区当前面临的最主要传染病和突发公共卫生事件风险。在以原有监测体系为依托的灾后</w:t>
      </w:r>
      <w:r>
        <w:rPr>
          <w:rFonts w:ascii="仿宋" w:eastAsia="仿宋" w:hAnsi="仿宋" w:cs="仿宋" w:hint="eastAsia"/>
          <w:szCs w:val="32"/>
        </w:rPr>
        <w:lastRenderedPageBreak/>
        <w:t>传染病和突发公共卫生事件监测工作中，可以根据风险评估结果确定不同病种或者事件的监测和响应阈值。对于需要开展临时症状监测的灾区，则可以根据风险评估结果，</w:t>
      </w:r>
      <w:proofErr w:type="gramStart"/>
      <w:r>
        <w:rPr>
          <w:rFonts w:ascii="仿宋" w:eastAsia="仿宋" w:hAnsi="仿宋" w:cs="仿宋" w:hint="eastAsia"/>
          <w:szCs w:val="32"/>
        </w:rPr>
        <w:t>明确需</w:t>
      </w:r>
      <w:proofErr w:type="gramEnd"/>
      <w:r>
        <w:rPr>
          <w:rFonts w:ascii="仿宋" w:eastAsia="仿宋" w:hAnsi="仿宋" w:cs="仿宋" w:hint="eastAsia"/>
          <w:szCs w:val="32"/>
        </w:rPr>
        <w:t>开展哪些症状的监测，同时确定不同症状监测需要调查响应的阈值。</w:t>
      </w:r>
    </w:p>
    <w:p w:rsidR="00841B8B" w:rsidRDefault="00841B8B" w:rsidP="00841B8B">
      <w:pPr>
        <w:adjustRightInd w:val="0"/>
        <w:snapToGrid w:val="0"/>
        <w:spacing w:line="580" w:lineRule="exact"/>
        <w:ind w:firstLineChars="200" w:firstLine="640"/>
        <w:rPr>
          <w:rFonts w:ascii="黑体" w:eastAsia="黑体" w:hAnsi="黑体" w:cs="仿宋"/>
          <w:bCs/>
          <w:szCs w:val="32"/>
        </w:rPr>
      </w:pPr>
      <w:r>
        <w:rPr>
          <w:rFonts w:ascii="黑体" w:eastAsia="黑体" w:hAnsi="黑体" w:cs="仿宋" w:hint="eastAsia"/>
          <w:bCs/>
          <w:szCs w:val="32"/>
        </w:rPr>
        <w:t>三、开展灾后传染病和突发公共卫生事件监测</w:t>
      </w:r>
    </w:p>
    <w:p w:rsidR="00841B8B" w:rsidRDefault="00841B8B" w:rsidP="00841B8B">
      <w:pPr>
        <w:adjustRightInd w:val="0"/>
        <w:snapToGrid w:val="0"/>
        <w:spacing w:line="580" w:lineRule="exact"/>
        <w:ind w:firstLineChars="200" w:firstLine="640"/>
        <w:rPr>
          <w:rFonts w:ascii="楷体" w:eastAsia="楷体" w:hAnsi="楷体" w:cs="仿宋"/>
          <w:bCs/>
          <w:szCs w:val="32"/>
        </w:rPr>
      </w:pPr>
      <w:r>
        <w:rPr>
          <w:rFonts w:ascii="楷体" w:eastAsia="楷体" w:hAnsi="楷体" w:cs="仿宋" w:hint="eastAsia"/>
          <w:bCs/>
          <w:szCs w:val="32"/>
        </w:rPr>
        <w:t>（一）基于原有监测体系开展强化监测工作。</w:t>
      </w:r>
    </w:p>
    <w:p w:rsidR="00841B8B" w:rsidRDefault="001E392A"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暴洪泥石流灾害</w:t>
      </w:r>
      <w:r w:rsidR="00841B8B">
        <w:rPr>
          <w:rFonts w:ascii="仿宋" w:eastAsia="仿宋" w:hAnsi="仿宋" w:cs="仿宋" w:hint="eastAsia"/>
          <w:szCs w:val="32"/>
        </w:rPr>
        <w:t>发生后，灾区如能够尽快恢复原有监测体系，则应迅速恢复原有传染病和突发公共卫生事件监测系统，同时降低原有的监测和响应阈值，提高监测系统的敏感性。基本原则为：</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_GB2312" w:hAnsi="仿宋" w:cs="仿宋" w:hint="eastAsia"/>
          <w:szCs w:val="32"/>
        </w:rPr>
        <w:t>．</w:t>
      </w:r>
      <w:r>
        <w:rPr>
          <w:rFonts w:ascii="仿宋" w:eastAsia="仿宋" w:hAnsi="仿宋" w:cs="仿宋" w:hint="eastAsia"/>
          <w:szCs w:val="32"/>
        </w:rPr>
        <w:t>当地所有的医疗卫生人员应尽快恢复工作；监测相关的医疗卫生人力资源不足时尽快就近调配支援。这里指的医疗卫生人员，不单纯指的是原有负责传染病和突发公共卫生事件监测人员，还要包括所有原来从事全科医疗服务、传染病、中毒等疾病诊疗服务的医生以及实验室检测人员。</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优先恢复当地公共卫生实验室的工作能力，确保原先检测项目得以正常开展；如果有困难，则暂时先用快速检测仪器和试剂加以替代。同时建立与最近可用的</w:t>
      </w:r>
      <w:r>
        <w:rPr>
          <w:rFonts w:ascii="仿宋" w:eastAsia="仿宋" w:hAnsi="仿宋" w:cs="仿宋"/>
          <w:szCs w:val="32"/>
        </w:rPr>
        <w:t>相关</w:t>
      </w:r>
      <w:r>
        <w:rPr>
          <w:rFonts w:ascii="仿宋" w:eastAsia="仿宋" w:hAnsi="仿宋" w:cs="仿宋" w:hint="eastAsia"/>
          <w:szCs w:val="32"/>
        </w:rPr>
        <w:t>实验室的支持工作机制，确保紧急送样检测或标本复核的渠道畅通。</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2．所有临时医疗急救点和灾民安置点均应</w:t>
      </w:r>
      <w:r>
        <w:rPr>
          <w:rFonts w:ascii="仿宋" w:eastAsia="仿宋" w:hAnsi="仿宋" w:cs="仿宋"/>
          <w:szCs w:val="32"/>
        </w:rPr>
        <w:t>根据需要</w:t>
      </w:r>
      <w:r>
        <w:rPr>
          <w:rFonts w:ascii="仿宋" w:eastAsia="仿宋" w:hAnsi="仿宋" w:cs="仿宋" w:hint="eastAsia"/>
          <w:szCs w:val="32"/>
        </w:rPr>
        <w:t>设置监测点，配置相应的监测人员和信息报告条件。如果人力资源和设备不足，应由就近的医疗卫生人员和医疗卫生机构负责监测，至少做到每天巡查和报告一次。</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lastRenderedPageBreak/>
        <w:t>3．降低原有传染病和突发公共卫生事件相关信息的监测和响应阈值。根据风险评估结果，对于灾区面临高风险的传染病和突发公共卫生事件，</w:t>
      </w:r>
      <w:proofErr w:type="gramStart"/>
      <w:r>
        <w:rPr>
          <w:rFonts w:ascii="仿宋" w:eastAsia="仿宋" w:hAnsi="仿宋" w:cs="仿宋" w:hint="eastAsia"/>
          <w:szCs w:val="32"/>
        </w:rPr>
        <w:t>出现单例病例</w:t>
      </w:r>
      <w:proofErr w:type="gramEnd"/>
      <w:r>
        <w:rPr>
          <w:rFonts w:ascii="仿宋" w:eastAsia="仿宋" w:hAnsi="仿宋" w:cs="仿宋" w:hint="eastAsia"/>
          <w:szCs w:val="32"/>
        </w:rPr>
        <w:t>或者2</w:t>
      </w:r>
      <w:proofErr w:type="gramStart"/>
      <w:r>
        <w:rPr>
          <w:rFonts w:ascii="仿宋" w:eastAsia="仿宋" w:hAnsi="仿宋" w:cs="仿宋" w:hint="eastAsia"/>
          <w:szCs w:val="32"/>
        </w:rPr>
        <w:t>例具备</w:t>
      </w:r>
      <w:proofErr w:type="gramEnd"/>
      <w:r>
        <w:rPr>
          <w:rFonts w:ascii="仿宋" w:eastAsia="仿宋" w:hAnsi="仿宋" w:cs="仿宋" w:hint="eastAsia"/>
          <w:szCs w:val="32"/>
        </w:rPr>
        <w:t>流行病学关联的病例就应当按突发公共卫生事件相关信息进行报告和调查处置；或者传染病发病率超过近年同期发病率均值的1.5倍标准差时，就应当进行疫情核实或者启动现场流行病学调查。</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4．如果灾区原来属于全国重点传染病和病媒生物监测点，根据风险评估结果，对于其中高风险的重点传染病及其病媒生物，建议在原有基础上加强监测频次，所需监测经费从当地和上级支援的救灾防病经费中申请补充。</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5．上述强化监测持续至本地区</w:t>
      </w:r>
      <w:r w:rsidR="001E392A">
        <w:rPr>
          <w:rFonts w:ascii="仿宋" w:eastAsia="仿宋" w:hAnsi="仿宋" w:cs="仿宋" w:hint="eastAsia"/>
          <w:szCs w:val="32"/>
        </w:rPr>
        <w:t>暴洪泥石流灾害</w:t>
      </w:r>
      <w:r>
        <w:rPr>
          <w:rFonts w:ascii="仿宋" w:eastAsia="仿宋" w:hAnsi="仿宋" w:cs="仿宋" w:hint="eastAsia"/>
          <w:szCs w:val="32"/>
        </w:rPr>
        <w:t>应急响应结束。</w:t>
      </w:r>
    </w:p>
    <w:p w:rsidR="00841B8B" w:rsidRDefault="00841B8B" w:rsidP="00841B8B">
      <w:pPr>
        <w:adjustRightInd w:val="0"/>
        <w:snapToGrid w:val="0"/>
        <w:spacing w:line="580" w:lineRule="exact"/>
        <w:ind w:firstLineChars="200" w:firstLine="640"/>
        <w:rPr>
          <w:rFonts w:ascii="楷体" w:eastAsia="楷体" w:hAnsi="楷体" w:cs="仿宋"/>
          <w:bCs/>
          <w:szCs w:val="32"/>
        </w:rPr>
      </w:pPr>
      <w:r>
        <w:rPr>
          <w:rFonts w:ascii="楷体" w:eastAsia="楷体" w:hAnsi="楷体" w:cs="仿宋" w:hint="eastAsia"/>
          <w:bCs/>
          <w:szCs w:val="32"/>
        </w:rPr>
        <w:t>（二）建立新的症状监测系统开展监测工作。</w:t>
      </w:r>
    </w:p>
    <w:p w:rsidR="00841B8B" w:rsidRDefault="001E392A"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暴洪泥石流灾害</w:t>
      </w:r>
      <w:r w:rsidR="00841B8B">
        <w:rPr>
          <w:rFonts w:ascii="仿宋" w:eastAsia="仿宋" w:hAnsi="仿宋" w:cs="仿宋" w:hint="eastAsia"/>
          <w:szCs w:val="32"/>
        </w:rPr>
        <w:t>发生后，灾区短期内难以恢复原有监测体系，则需要建立新的症状监测系统。症状监测也称为症候群监测，是指通过连续、系统地采集和分析特定疾病临床症候群发生频率的数据，及时发现疾病在时间和空间上的异常聚集，以便对疾病暴发进行早期探查、预警及快速反应。洪涝灾区建立症状监测系统原则：</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1．症状监测的症状选择。</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2008年四川</w:t>
      </w:r>
      <w:proofErr w:type="gramStart"/>
      <w:r>
        <w:rPr>
          <w:rFonts w:ascii="仿宋" w:eastAsia="仿宋" w:hAnsi="仿宋" w:cs="仿宋" w:hint="eastAsia"/>
          <w:szCs w:val="32"/>
        </w:rPr>
        <w:t>汶</w:t>
      </w:r>
      <w:proofErr w:type="gramEnd"/>
      <w:r>
        <w:rPr>
          <w:rFonts w:ascii="仿宋" w:eastAsia="仿宋" w:hAnsi="仿宋" w:cs="仿宋" w:hint="eastAsia"/>
          <w:szCs w:val="32"/>
        </w:rPr>
        <w:t>川地震时中国疾病预防控制信息系统中设定了症状监测表格，这些症候群已经囊括了较为全面灾后需要关注的传染病病种和突发公共卫生事件。目前，系统中</w:t>
      </w:r>
      <w:r>
        <w:rPr>
          <w:rFonts w:ascii="仿宋" w:eastAsia="仿宋" w:hAnsi="仿宋" w:cs="仿宋" w:hint="eastAsia"/>
          <w:szCs w:val="32"/>
        </w:rPr>
        <w:lastRenderedPageBreak/>
        <w:t>设定的监测症状包括：</w:t>
      </w:r>
      <w:r w:rsidRPr="007463C0">
        <w:rPr>
          <w:rFonts w:ascii="仿宋" w:eastAsia="仿宋" w:hAnsi="仿宋" w:cs="仿宋" w:hint="eastAsia"/>
          <w:szCs w:val="32"/>
        </w:rPr>
        <w:t>发热伴呼吸道</w:t>
      </w:r>
      <w:r>
        <w:rPr>
          <w:rFonts w:ascii="仿宋" w:eastAsia="仿宋" w:hAnsi="仿宋" w:cs="仿宋" w:hint="eastAsia"/>
          <w:szCs w:val="32"/>
        </w:rPr>
        <w:t>、</w:t>
      </w:r>
      <w:r w:rsidRPr="007463C0">
        <w:rPr>
          <w:rFonts w:ascii="仿宋" w:eastAsia="仿宋" w:hAnsi="仿宋" w:cs="仿宋" w:hint="eastAsia"/>
          <w:szCs w:val="32"/>
        </w:rPr>
        <w:t>发热伴出疹</w:t>
      </w:r>
      <w:r>
        <w:rPr>
          <w:rFonts w:ascii="仿宋" w:eastAsia="仿宋" w:hAnsi="仿宋" w:cs="仿宋" w:hint="eastAsia"/>
          <w:szCs w:val="32"/>
        </w:rPr>
        <w:t>、</w:t>
      </w:r>
      <w:r w:rsidRPr="007463C0">
        <w:rPr>
          <w:rFonts w:ascii="仿宋" w:eastAsia="仿宋" w:hAnsi="仿宋" w:cs="仿宋" w:hint="eastAsia"/>
          <w:szCs w:val="32"/>
        </w:rPr>
        <w:t>腹泻水样便</w:t>
      </w:r>
      <w:r>
        <w:rPr>
          <w:rFonts w:ascii="仿宋" w:eastAsia="仿宋" w:hAnsi="仿宋" w:cs="仿宋" w:hint="eastAsia"/>
          <w:szCs w:val="32"/>
        </w:rPr>
        <w:t>、</w:t>
      </w:r>
      <w:r w:rsidRPr="007463C0">
        <w:rPr>
          <w:rFonts w:ascii="仿宋" w:eastAsia="仿宋" w:hAnsi="仿宋" w:cs="仿宋" w:hint="eastAsia"/>
          <w:szCs w:val="32"/>
        </w:rPr>
        <w:t>腹泻血便</w:t>
      </w:r>
      <w:r>
        <w:rPr>
          <w:rFonts w:ascii="仿宋" w:eastAsia="仿宋" w:hAnsi="仿宋" w:cs="仿宋" w:hint="eastAsia"/>
          <w:szCs w:val="32"/>
        </w:rPr>
        <w:t>、</w:t>
      </w:r>
      <w:r w:rsidRPr="007463C0">
        <w:rPr>
          <w:rFonts w:ascii="仿宋" w:eastAsia="仿宋" w:hAnsi="仿宋" w:cs="仿宋" w:hint="eastAsia"/>
          <w:szCs w:val="32"/>
        </w:rPr>
        <w:t>急性黄疸</w:t>
      </w:r>
      <w:r>
        <w:rPr>
          <w:rFonts w:ascii="仿宋" w:eastAsia="仿宋" w:hAnsi="仿宋" w:cs="仿宋" w:hint="eastAsia"/>
          <w:szCs w:val="32"/>
        </w:rPr>
        <w:t>、</w:t>
      </w:r>
      <w:r w:rsidRPr="007463C0">
        <w:rPr>
          <w:rFonts w:ascii="仿宋" w:eastAsia="仿宋" w:hAnsi="仿宋" w:cs="仿宋" w:hint="eastAsia"/>
          <w:szCs w:val="32"/>
        </w:rPr>
        <w:t>脑炎或脑膜炎</w:t>
      </w:r>
      <w:r>
        <w:rPr>
          <w:rFonts w:ascii="仿宋" w:eastAsia="仿宋" w:hAnsi="仿宋" w:cs="仿宋" w:hint="eastAsia"/>
          <w:szCs w:val="32"/>
        </w:rPr>
        <w:t>、</w:t>
      </w:r>
      <w:r w:rsidRPr="007463C0">
        <w:rPr>
          <w:rFonts w:ascii="仿宋" w:eastAsia="仿宋" w:hAnsi="仿宋" w:cs="仿宋" w:hint="eastAsia"/>
          <w:szCs w:val="32"/>
        </w:rPr>
        <w:t>其他发热性疾病</w:t>
      </w:r>
      <w:r>
        <w:rPr>
          <w:rFonts w:ascii="仿宋" w:eastAsia="仿宋" w:hAnsi="仿宋" w:cs="仿宋" w:hint="eastAsia"/>
          <w:szCs w:val="32"/>
        </w:rPr>
        <w:t>、</w:t>
      </w:r>
      <w:r w:rsidRPr="007463C0">
        <w:rPr>
          <w:rFonts w:ascii="仿宋" w:eastAsia="仿宋" w:hAnsi="仿宋" w:cs="仿宋" w:hint="eastAsia"/>
          <w:szCs w:val="32"/>
        </w:rPr>
        <w:t>食物中毒</w:t>
      </w:r>
      <w:r>
        <w:rPr>
          <w:rFonts w:ascii="仿宋" w:eastAsia="仿宋" w:hAnsi="仿宋" w:cs="仿宋" w:hint="eastAsia"/>
          <w:szCs w:val="32"/>
        </w:rPr>
        <w:t>、</w:t>
      </w:r>
      <w:r w:rsidRPr="007463C0">
        <w:rPr>
          <w:rFonts w:ascii="仿宋" w:eastAsia="仿宋" w:hAnsi="仿宋" w:cs="仿宋" w:hint="eastAsia"/>
          <w:szCs w:val="32"/>
        </w:rPr>
        <w:t>咳嗽伴咳血</w:t>
      </w:r>
      <w:r>
        <w:rPr>
          <w:rFonts w:ascii="仿宋" w:eastAsia="仿宋" w:hAnsi="仿宋" w:cs="仿宋" w:hint="eastAsia"/>
          <w:szCs w:val="32"/>
        </w:rPr>
        <w:t>、</w:t>
      </w:r>
      <w:r w:rsidRPr="007463C0">
        <w:rPr>
          <w:rFonts w:ascii="仿宋" w:eastAsia="仿宋" w:hAnsi="仿宋" w:cs="仿宋" w:hint="eastAsia"/>
          <w:szCs w:val="32"/>
        </w:rPr>
        <w:t>淋巴结肿大(颈下、腋下、腹股沟)</w:t>
      </w:r>
      <w:r>
        <w:rPr>
          <w:rFonts w:ascii="仿宋" w:eastAsia="仿宋" w:hAnsi="仿宋" w:cs="仿宋" w:hint="eastAsia"/>
          <w:szCs w:val="32"/>
        </w:rPr>
        <w:t>等10种症状。经过国家多次灾害事件卫生防疫工作检验以及我省2013年</w:t>
      </w:r>
      <w:r w:rsidRPr="00A40A5A">
        <w:rPr>
          <w:rFonts w:ascii="仿宋" w:eastAsia="仿宋" w:hAnsi="仿宋" w:cs="仿宋" w:hint="eastAsia"/>
          <w:szCs w:val="32"/>
        </w:rPr>
        <w:t>岷县“7.22”地震灾后传染病疫情防控工作</w:t>
      </w:r>
      <w:r>
        <w:rPr>
          <w:rFonts w:ascii="仿宋" w:eastAsia="仿宋" w:hAnsi="仿宋" w:cs="仿宋" w:hint="eastAsia"/>
          <w:szCs w:val="32"/>
        </w:rPr>
        <w:t>实践证明，以上10种症状具备参考价值。</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若以上设定的10种症状不能满足工作需求，则根据风险评估中得到的当地面临较高风险传染病和突发公共卫生事件结果，确定灾区需要开展监测的症状或</w:t>
      </w:r>
      <w:r>
        <w:rPr>
          <w:rFonts w:ascii="仿宋" w:eastAsia="仿宋" w:hAnsi="仿宋" w:cs="仿宋"/>
          <w:szCs w:val="32"/>
        </w:rPr>
        <w:t>症候群</w:t>
      </w:r>
      <w:r>
        <w:rPr>
          <w:rFonts w:ascii="仿宋" w:eastAsia="仿宋" w:hAnsi="仿宋" w:cs="仿宋" w:hint="eastAsia"/>
          <w:szCs w:val="32"/>
        </w:rPr>
        <w:t>。选择症候群时，可以根据可能发生突发公共卫生事件风险等级和疾病负担排序，同时结合本地区既往的</w:t>
      </w:r>
      <w:r w:rsidR="001E392A">
        <w:rPr>
          <w:rFonts w:ascii="仿宋" w:eastAsia="仿宋" w:hAnsi="仿宋" w:cs="仿宋" w:hint="eastAsia"/>
          <w:szCs w:val="32"/>
        </w:rPr>
        <w:t>暴洪泥石流灾害</w:t>
      </w:r>
      <w:r>
        <w:rPr>
          <w:rFonts w:ascii="仿宋" w:eastAsia="仿宋" w:hAnsi="仿宋" w:cs="仿宋" w:hint="eastAsia"/>
          <w:szCs w:val="32"/>
        </w:rPr>
        <w:t>救灾</w:t>
      </w:r>
      <w:r>
        <w:rPr>
          <w:rFonts w:ascii="仿宋" w:eastAsia="仿宋" w:hAnsi="仿宋" w:cs="仿宋"/>
          <w:szCs w:val="32"/>
        </w:rPr>
        <w:t>防病</w:t>
      </w:r>
      <w:r>
        <w:rPr>
          <w:rFonts w:ascii="仿宋" w:eastAsia="仿宋" w:hAnsi="仿宋" w:cs="仿宋" w:hint="eastAsia"/>
          <w:szCs w:val="32"/>
        </w:rPr>
        <w:t>经验，设计不同的症候群组合。</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2．症状监测点的设置。</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症状监测点应设置在灾后所有开展医疗卫生服务的机构以及所有的灾民临时安置点。其责任报告人为各级各类医疗卫生机构及其执行职务的人员，乡村医生、个体开业医生；灾民安置点的责任医生，如果该灾民安置点无指定责任医生，则由该安置点的负责人或其指定人员替代（如果此人无医学背景，需对其开展必要的培训）。</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3．症状监测报告频次。</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症状监测应当做到每日报告和零报告。每日早晨收集前一日数据报安置点所在地的乡镇卫生院/社区卫生服务中心。乡镇卫生院/社区卫生服务中心指定专人对辖区内各安置</w:t>
      </w:r>
      <w:proofErr w:type="gramStart"/>
      <w:r>
        <w:rPr>
          <w:rFonts w:ascii="仿宋" w:eastAsia="仿宋" w:hAnsi="仿宋" w:cs="仿宋" w:hint="eastAsia"/>
          <w:szCs w:val="32"/>
        </w:rPr>
        <w:t>点数据</w:t>
      </w:r>
      <w:proofErr w:type="gramEnd"/>
      <w:r>
        <w:rPr>
          <w:rFonts w:ascii="仿宋" w:eastAsia="仿宋" w:hAnsi="仿宋" w:cs="仿宋" w:hint="eastAsia"/>
          <w:szCs w:val="32"/>
        </w:rPr>
        <w:t>进行审核并汇总后，于每日上午9点前在中国疾病预防</w:t>
      </w:r>
      <w:r>
        <w:rPr>
          <w:rFonts w:ascii="仿宋" w:eastAsia="仿宋" w:hAnsi="仿宋" w:cs="仿宋" w:hint="eastAsia"/>
          <w:szCs w:val="32"/>
        </w:rPr>
        <w:lastRenderedPageBreak/>
        <w:t>控制信息系统中的“症状监测直报系统”中进行网络报告，报告单位选择本乡镇卫生院/社区卫生服务中心。如果当地的计算机和网络系统中断，则临时用智能手机进行填报。如数据填报有误，需当日及时重新点击添加数据，录入正确的数据后点击“更新”，超过当天则不可修改已经填报的数据。</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4．症状监测的响应。</w:t>
      </w:r>
    </w:p>
    <w:p w:rsidR="00841B8B" w:rsidRDefault="00841B8B" w:rsidP="00841B8B">
      <w:pPr>
        <w:adjustRightInd w:val="0"/>
        <w:snapToGrid w:val="0"/>
        <w:spacing w:line="580" w:lineRule="exact"/>
        <w:ind w:firstLineChars="200" w:firstLine="640"/>
        <w:rPr>
          <w:rFonts w:hAnsi="宋体"/>
          <w:b/>
          <w:szCs w:val="32"/>
        </w:rPr>
      </w:pPr>
      <w:r>
        <w:rPr>
          <w:rFonts w:ascii="仿宋" w:eastAsia="仿宋" w:hAnsi="仿宋" w:cs="仿宋" w:hint="eastAsia"/>
          <w:szCs w:val="32"/>
        </w:rPr>
        <w:t>症状监测开始的前4周，监测人员每天均需与各监测点人员沟通是否存在相同症候群聚集性病例的情况，如有，应当开展进一步核实排查工作。之后则根据既往的监测基线，一旦有异常上升，按需要采取进一步核查工作。</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5．症状监测的终止。</w:t>
      </w:r>
    </w:p>
    <w:p w:rsidR="00841B8B" w:rsidRDefault="00841B8B" w:rsidP="00841B8B">
      <w:pPr>
        <w:adjustRightInd w:val="0"/>
        <w:snapToGrid w:val="0"/>
        <w:spacing w:line="580" w:lineRule="exact"/>
        <w:ind w:firstLineChars="200" w:firstLine="640"/>
        <w:rPr>
          <w:rFonts w:ascii="仿宋" w:eastAsia="仿宋" w:hAnsi="仿宋" w:cs="仿宋"/>
          <w:szCs w:val="32"/>
        </w:rPr>
      </w:pPr>
      <w:r>
        <w:rPr>
          <w:rFonts w:ascii="仿宋" w:eastAsia="仿宋" w:hAnsi="仿宋" w:cs="仿宋" w:hint="eastAsia"/>
          <w:szCs w:val="32"/>
        </w:rPr>
        <w:t>当灾区恢复灾前的传染病和突发公共卫生事件监测能力水平时，可以停止症状监测，进而采取基于原有监测体系的强化监测策略。</w:t>
      </w:r>
    </w:p>
    <w:p w:rsidR="00841B8B" w:rsidRDefault="00841B8B" w:rsidP="00841B8B">
      <w:pPr>
        <w:tabs>
          <w:tab w:val="left" w:pos="1035"/>
        </w:tabs>
        <w:spacing w:line="480" w:lineRule="exact"/>
        <w:rPr>
          <w:rFonts w:hAnsi="宋体"/>
          <w:b/>
          <w:szCs w:val="32"/>
        </w:rPr>
        <w:sectPr w:rsidR="00841B8B">
          <w:headerReference w:type="default" r:id="rId6"/>
          <w:pgSz w:w="11906" w:h="16838"/>
          <w:pgMar w:top="1440" w:right="1800" w:bottom="1440" w:left="1800" w:header="851" w:footer="992" w:gutter="0"/>
          <w:cols w:space="720"/>
          <w:docGrid w:type="lines" w:linePitch="312"/>
        </w:sectPr>
      </w:pPr>
    </w:p>
    <w:p w:rsidR="00841B8B" w:rsidRDefault="00841B8B" w:rsidP="00841B8B">
      <w:pPr>
        <w:tabs>
          <w:tab w:val="left" w:pos="1035"/>
        </w:tabs>
        <w:spacing w:line="480" w:lineRule="exact"/>
        <w:rPr>
          <w:rFonts w:ascii="黑体" w:eastAsia="黑体" w:hAnsi="黑体"/>
          <w:sz w:val="28"/>
          <w:szCs w:val="28"/>
        </w:rPr>
      </w:pPr>
      <w:r>
        <w:rPr>
          <w:rFonts w:ascii="黑体" w:eastAsia="黑体" w:hAnsi="黑体" w:hint="eastAsia"/>
          <w:sz w:val="28"/>
          <w:szCs w:val="28"/>
        </w:rPr>
        <w:lastRenderedPageBreak/>
        <w:t>附表2-1</w:t>
      </w:r>
    </w:p>
    <w:p w:rsidR="00841B8B" w:rsidRDefault="00841B8B" w:rsidP="00841B8B">
      <w:pPr>
        <w:tabs>
          <w:tab w:val="left" w:pos="1035"/>
        </w:tabs>
        <w:spacing w:line="480" w:lineRule="exact"/>
        <w:jc w:val="center"/>
        <w:rPr>
          <w:rFonts w:hAnsi="宋体"/>
          <w:b/>
          <w:sz w:val="44"/>
          <w:szCs w:val="44"/>
        </w:rPr>
      </w:pPr>
    </w:p>
    <w:p w:rsidR="00841B8B" w:rsidRDefault="001E392A" w:rsidP="00841B8B">
      <w:pPr>
        <w:tabs>
          <w:tab w:val="left" w:pos="1035"/>
        </w:tabs>
        <w:spacing w:line="480" w:lineRule="exact"/>
        <w:jc w:val="center"/>
        <w:rPr>
          <w:rFonts w:ascii="宋体" w:eastAsia="宋体" w:hAnsi="宋体"/>
          <w:b/>
          <w:sz w:val="44"/>
          <w:szCs w:val="44"/>
        </w:rPr>
      </w:pPr>
      <w:r>
        <w:rPr>
          <w:rFonts w:ascii="宋体" w:eastAsia="宋体" w:hAnsi="宋体" w:hint="eastAsia"/>
          <w:b/>
          <w:sz w:val="44"/>
          <w:szCs w:val="44"/>
        </w:rPr>
        <w:t>暴洪泥石流灾害</w:t>
      </w:r>
      <w:r w:rsidR="00841B8B">
        <w:rPr>
          <w:rFonts w:ascii="宋体" w:eastAsia="宋体" w:hAnsi="宋体" w:hint="eastAsia"/>
          <w:b/>
          <w:sz w:val="44"/>
          <w:szCs w:val="44"/>
        </w:rPr>
        <w:t>居民安置点传染病就诊</w:t>
      </w:r>
    </w:p>
    <w:p w:rsidR="00841B8B" w:rsidRDefault="00841B8B" w:rsidP="00841B8B">
      <w:pPr>
        <w:tabs>
          <w:tab w:val="left" w:pos="1035"/>
        </w:tabs>
        <w:spacing w:line="480" w:lineRule="exact"/>
        <w:jc w:val="center"/>
        <w:rPr>
          <w:rFonts w:ascii="宋体" w:eastAsia="宋体" w:hAnsi="宋体"/>
          <w:b/>
          <w:sz w:val="44"/>
          <w:szCs w:val="44"/>
        </w:rPr>
      </w:pPr>
      <w:r>
        <w:rPr>
          <w:rFonts w:ascii="宋体" w:eastAsia="宋体" w:hAnsi="宋体" w:hint="eastAsia"/>
          <w:b/>
          <w:sz w:val="44"/>
          <w:szCs w:val="44"/>
        </w:rPr>
        <w:t>症状监测表</w:t>
      </w:r>
    </w:p>
    <w:p w:rsidR="00841B8B" w:rsidRDefault="00841B8B" w:rsidP="00841B8B">
      <w:pPr>
        <w:tabs>
          <w:tab w:val="left" w:pos="1035"/>
        </w:tabs>
        <w:spacing w:line="480" w:lineRule="exact"/>
        <w:jc w:val="center"/>
        <w:rPr>
          <w:rFonts w:hAnsi="宋体"/>
          <w:b/>
          <w:sz w:val="44"/>
          <w:szCs w:val="44"/>
        </w:rPr>
      </w:pPr>
    </w:p>
    <w:p w:rsidR="00841B8B" w:rsidRDefault="00841B8B" w:rsidP="00841B8B">
      <w:pPr>
        <w:tabs>
          <w:tab w:val="left" w:pos="1035"/>
        </w:tabs>
        <w:spacing w:line="480" w:lineRule="exact"/>
        <w:rPr>
          <w:rFonts w:ascii="仿宋" w:eastAsia="仿宋" w:hAnsi="仿宋"/>
          <w:b/>
          <w:sz w:val="28"/>
          <w:szCs w:val="28"/>
        </w:rPr>
      </w:pPr>
      <w:r>
        <w:rPr>
          <w:rFonts w:ascii="仿宋" w:eastAsia="仿宋" w:hAnsi="仿宋" w:hint="eastAsia"/>
          <w:b/>
          <w:sz w:val="28"/>
          <w:szCs w:val="28"/>
        </w:rPr>
        <w:t>报告地区：_______________     报告医院：___________________</w:t>
      </w:r>
    </w:p>
    <w:p w:rsidR="00841B8B" w:rsidRDefault="00841B8B" w:rsidP="00841B8B">
      <w:pPr>
        <w:tabs>
          <w:tab w:val="left" w:pos="1035"/>
        </w:tabs>
        <w:spacing w:line="480" w:lineRule="exact"/>
        <w:rPr>
          <w:rFonts w:ascii="仿宋" w:eastAsia="仿宋" w:hAnsi="仿宋"/>
          <w:b/>
          <w:sz w:val="28"/>
          <w:szCs w:val="28"/>
        </w:rPr>
      </w:pPr>
      <w:r>
        <w:rPr>
          <w:rFonts w:ascii="仿宋" w:eastAsia="仿宋" w:hAnsi="仿宋" w:hint="eastAsia"/>
          <w:b/>
          <w:sz w:val="28"/>
          <w:szCs w:val="28"/>
        </w:rPr>
        <w:t>报告日期：_____年__月__日 报告人：_______ 手机号：__________</w:t>
      </w:r>
    </w:p>
    <w:p w:rsidR="00841B8B" w:rsidRDefault="00841B8B" w:rsidP="00841B8B">
      <w:pPr>
        <w:snapToGrid w:val="0"/>
        <w:spacing w:line="480" w:lineRule="exact"/>
        <w:rPr>
          <w:rFonts w:ascii="仿宋" w:eastAsia="仿宋" w:hAnsi="仿宋"/>
          <w:b/>
          <w:sz w:val="28"/>
          <w:szCs w:val="28"/>
        </w:rPr>
      </w:pPr>
      <w:r>
        <w:rPr>
          <w:rFonts w:ascii="仿宋" w:eastAsia="仿宋" w:hAnsi="仿宋" w:hint="eastAsia"/>
          <w:b/>
          <w:sz w:val="28"/>
          <w:szCs w:val="28"/>
        </w:rPr>
        <w:t>地址：_________________________  是否为零报告：___</w:t>
      </w:r>
    </w:p>
    <w:p w:rsidR="00841B8B" w:rsidRDefault="00841B8B" w:rsidP="00841B8B">
      <w:pPr>
        <w:snapToGrid w:val="0"/>
        <w:spacing w:line="480" w:lineRule="exact"/>
        <w:rPr>
          <w:rFonts w:hAnsi="宋体"/>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7"/>
        <w:gridCol w:w="2882"/>
        <w:gridCol w:w="1734"/>
      </w:tblGrid>
      <w:tr w:rsidR="00841B8B" w:rsidTr="000814A2">
        <w:trPr>
          <w:trHeight w:val="20"/>
        </w:trPr>
        <w:tc>
          <w:tcPr>
            <w:tcW w:w="3747" w:type="dxa"/>
            <w:vAlign w:val="center"/>
          </w:tcPr>
          <w:p w:rsidR="00841B8B" w:rsidRDefault="00841B8B" w:rsidP="000814A2">
            <w:pPr>
              <w:widowControl/>
              <w:spacing w:line="48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症状</w:t>
            </w:r>
          </w:p>
        </w:tc>
        <w:tc>
          <w:tcPr>
            <w:tcW w:w="2882" w:type="dxa"/>
            <w:vAlign w:val="center"/>
          </w:tcPr>
          <w:p w:rsidR="00841B8B" w:rsidRDefault="00841B8B" w:rsidP="000814A2">
            <w:pPr>
              <w:widowControl/>
              <w:spacing w:line="48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≤5岁儿童发病人数</w:t>
            </w:r>
          </w:p>
        </w:tc>
        <w:tc>
          <w:tcPr>
            <w:tcW w:w="1734" w:type="dxa"/>
            <w:vAlign w:val="center"/>
          </w:tcPr>
          <w:p w:rsidR="00841B8B" w:rsidRDefault="00841B8B" w:rsidP="000814A2">
            <w:pPr>
              <w:widowControl/>
              <w:spacing w:line="48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发病总人数</w:t>
            </w: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发热伴呼吸道症状</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发热伴出疹</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腹泻水样便</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腹泻血便</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急性黄疸</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脑炎或脑膜炎</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sidRPr="00A40A5A">
              <w:rPr>
                <w:rFonts w:ascii="仿宋" w:eastAsia="仿宋" w:hAnsi="仿宋" w:cs="宋体" w:hint="eastAsia"/>
                <w:color w:val="000000"/>
                <w:kern w:val="0"/>
                <w:sz w:val="28"/>
                <w:szCs w:val="28"/>
              </w:rPr>
              <w:t>其他发热性疾病</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食物中毒</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咳嗽伴咳血</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r w:rsidR="00841B8B" w:rsidTr="000814A2">
        <w:trPr>
          <w:trHeight w:val="20"/>
        </w:trPr>
        <w:tc>
          <w:tcPr>
            <w:tcW w:w="3747"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淋巴结肿大（颌下、腋下、腹股沟）</w:t>
            </w:r>
          </w:p>
        </w:tc>
        <w:tc>
          <w:tcPr>
            <w:tcW w:w="2882"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c>
          <w:tcPr>
            <w:tcW w:w="1734" w:type="dxa"/>
            <w:vAlign w:val="center"/>
          </w:tcPr>
          <w:p w:rsidR="00841B8B" w:rsidRDefault="00841B8B" w:rsidP="000814A2">
            <w:pPr>
              <w:widowControl/>
              <w:spacing w:line="480" w:lineRule="exact"/>
              <w:jc w:val="left"/>
              <w:rPr>
                <w:rFonts w:ascii="仿宋" w:eastAsia="仿宋" w:hAnsi="仿宋" w:cs="宋体"/>
                <w:color w:val="000000"/>
                <w:kern w:val="0"/>
                <w:sz w:val="28"/>
                <w:szCs w:val="28"/>
              </w:rPr>
            </w:pPr>
          </w:p>
        </w:tc>
      </w:tr>
    </w:tbl>
    <w:p w:rsidR="00841B8B" w:rsidRDefault="00841B8B" w:rsidP="00841B8B">
      <w:pPr>
        <w:jc w:val="center"/>
        <w:rPr>
          <w:rFonts w:ascii="仿宋" w:eastAsia="仿宋" w:hAnsi="仿宋" w:cs="仿宋"/>
          <w:b/>
          <w:bCs/>
          <w:sz w:val="28"/>
          <w:szCs w:val="28"/>
        </w:rPr>
      </w:pPr>
    </w:p>
    <w:p w:rsidR="00841B8B" w:rsidRDefault="00841B8B" w:rsidP="00841B8B">
      <w:pPr>
        <w:tabs>
          <w:tab w:val="left" w:pos="2105"/>
        </w:tabs>
        <w:spacing w:before="156" w:after="156"/>
        <w:jc w:val="left"/>
        <w:rPr>
          <w:rFonts w:ascii="仿宋_GB2312" w:hAnsi="仿宋" w:cs="仿宋"/>
          <w:szCs w:val="32"/>
        </w:rPr>
      </w:pPr>
    </w:p>
    <w:p w:rsidR="00841B8B" w:rsidRDefault="00841B8B" w:rsidP="00841B8B">
      <w:pPr>
        <w:adjustRightInd w:val="0"/>
        <w:snapToGrid w:val="0"/>
        <w:spacing w:line="580" w:lineRule="exact"/>
      </w:pPr>
    </w:p>
    <w:p w:rsidR="003042B6" w:rsidRPr="00841B8B" w:rsidRDefault="003042B6"/>
    <w:sectPr w:rsidR="003042B6" w:rsidRPr="00841B8B" w:rsidSect="00B42ED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283" w:footer="283"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F8" w:rsidRDefault="000C71F8" w:rsidP="00B42EDE">
      <w:r>
        <w:separator/>
      </w:r>
    </w:p>
  </w:endnote>
  <w:endnote w:type="continuationSeparator" w:id="0">
    <w:p w:rsidR="000C71F8" w:rsidRDefault="000C71F8" w:rsidP="00B42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6B" w:rsidRDefault="000C71F8">
    <w:pPr>
      <w:pStyle w:val="a4"/>
    </w:pPr>
  </w:p>
  <w:p w:rsidR="00F2476B" w:rsidRDefault="000C71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6B" w:rsidRDefault="00B42EDE">
    <w:pPr>
      <w:pStyle w:val="a4"/>
      <w:jc w:val="center"/>
    </w:pPr>
    <w:r>
      <w:fldChar w:fldCharType="begin"/>
    </w:r>
    <w:r w:rsidR="00841B8B">
      <w:instrText>PAGE   \* MERGEFORMAT</w:instrText>
    </w:r>
    <w:r>
      <w:fldChar w:fldCharType="separate"/>
    </w:r>
    <w:r w:rsidR="001E392A" w:rsidRPr="001E392A">
      <w:rPr>
        <w:noProof/>
        <w:lang w:val="zh-CN"/>
      </w:rPr>
      <w:t>7</w:t>
    </w:r>
    <w:r>
      <w:fldChar w:fldCharType="end"/>
    </w:r>
  </w:p>
  <w:p w:rsidR="00F2476B" w:rsidRDefault="000C71F8">
    <w:pPr>
      <w:pStyle w:val="a4"/>
    </w:pPr>
  </w:p>
  <w:p w:rsidR="00F2476B" w:rsidRDefault="000C71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6B" w:rsidRDefault="000C71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F8" w:rsidRDefault="000C71F8" w:rsidP="00B42EDE">
      <w:r>
        <w:separator/>
      </w:r>
    </w:p>
  </w:footnote>
  <w:footnote w:type="continuationSeparator" w:id="0">
    <w:p w:rsidR="000C71F8" w:rsidRDefault="000C71F8" w:rsidP="00B42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6B" w:rsidRDefault="000C71F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6B" w:rsidRDefault="000C71F8">
    <w:pPr>
      <w:pStyle w:val="a3"/>
    </w:pPr>
  </w:p>
  <w:p w:rsidR="00F2476B" w:rsidRDefault="000C71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6B" w:rsidRDefault="000C71F8">
    <w:pPr>
      <w:pStyle w:val="a3"/>
      <w:pBdr>
        <w:bottom w:val="none" w:sz="0" w:space="0" w:color="auto"/>
      </w:pBdr>
    </w:pPr>
  </w:p>
  <w:p w:rsidR="00F2476B" w:rsidRDefault="000C71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6B" w:rsidRDefault="000C71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B8B"/>
    <w:rsid w:val="000C71F8"/>
    <w:rsid w:val="001E392A"/>
    <w:rsid w:val="003042B6"/>
    <w:rsid w:val="00841B8B"/>
    <w:rsid w:val="00B42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8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841B8B"/>
    <w:rPr>
      <w:sz w:val="18"/>
      <w:szCs w:val="18"/>
    </w:rPr>
  </w:style>
  <w:style w:type="character" w:customStyle="1" w:styleId="Char0">
    <w:name w:val="页脚 Char"/>
    <w:link w:val="a4"/>
    <w:uiPriority w:val="99"/>
    <w:rsid w:val="00841B8B"/>
    <w:rPr>
      <w:sz w:val="18"/>
      <w:szCs w:val="18"/>
    </w:rPr>
  </w:style>
  <w:style w:type="paragraph" w:styleId="a3">
    <w:name w:val="header"/>
    <w:basedOn w:val="a"/>
    <w:link w:val="Char"/>
    <w:uiPriority w:val="99"/>
    <w:qFormat/>
    <w:rsid w:val="00841B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841B8B"/>
    <w:rPr>
      <w:rFonts w:ascii="Times New Roman" w:eastAsia="仿宋_GB2312" w:hAnsi="Times New Roman" w:cs="Times New Roman"/>
      <w:sz w:val="18"/>
      <w:szCs w:val="18"/>
    </w:rPr>
  </w:style>
  <w:style w:type="paragraph" w:styleId="a4">
    <w:name w:val="footer"/>
    <w:basedOn w:val="a"/>
    <w:link w:val="Char0"/>
    <w:uiPriority w:val="99"/>
    <w:rsid w:val="00841B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841B8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杨明宇</dc:creator>
  <cp:lastModifiedBy>杨明宇</cp:lastModifiedBy>
  <cp:revision>2</cp:revision>
  <dcterms:created xsi:type="dcterms:W3CDTF">2017-08-14T00:31:00Z</dcterms:created>
  <dcterms:modified xsi:type="dcterms:W3CDTF">2017-08-14T03:08:00Z</dcterms:modified>
</cp:coreProperties>
</file>